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8D" w:rsidRDefault="00D7248D" w:rsidP="00D7248D">
      <w:pPr>
        <w:tabs>
          <w:tab w:val="left" w:pos="7470"/>
          <w:tab w:val="left" w:pos="7920"/>
        </w:tabs>
        <w:jc w:val="left"/>
        <w:rPr>
          <w:rFonts w:eastAsia="MS Mincho"/>
        </w:rPr>
      </w:pPr>
      <w:r>
        <w:rPr>
          <w:rFonts w:eastAsia="MS Mincho"/>
          <w:b/>
          <w:bCs/>
        </w:rPr>
        <w:t>All Personnel</w:t>
      </w:r>
      <w:r>
        <w:rPr>
          <w:rFonts w:eastAsia="MS Mincho"/>
        </w:rPr>
        <w:tab/>
        <w:t>AR</w:t>
      </w:r>
      <w:r>
        <w:rPr>
          <w:rFonts w:eastAsia="MS Mincho"/>
        </w:rPr>
        <w:tab/>
        <w:t>4119.11(a)</w:t>
      </w:r>
    </w:p>
    <w:p w:rsidR="00D7248D" w:rsidRDefault="00D7248D" w:rsidP="00D7248D">
      <w:pPr>
        <w:tabs>
          <w:tab w:val="left" w:pos="7440"/>
          <w:tab w:val="left" w:pos="7920"/>
        </w:tabs>
        <w:jc w:val="left"/>
        <w:rPr>
          <w:rFonts w:eastAsia="MS Mincho"/>
        </w:rPr>
      </w:pPr>
      <w:r>
        <w:rPr>
          <w:rFonts w:eastAsia="MS Mincho"/>
        </w:rPr>
        <w:tab/>
      </w:r>
      <w:r>
        <w:rPr>
          <w:rFonts w:eastAsia="MS Mincho"/>
        </w:rPr>
        <w:tab/>
        <w:t>4219.11</w:t>
      </w:r>
    </w:p>
    <w:p w:rsidR="00D7248D" w:rsidRDefault="00D7248D" w:rsidP="00D7248D">
      <w:pPr>
        <w:tabs>
          <w:tab w:val="left" w:pos="7440"/>
          <w:tab w:val="left" w:pos="7920"/>
        </w:tabs>
        <w:jc w:val="left"/>
        <w:rPr>
          <w:rFonts w:eastAsia="MS Mincho"/>
        </w:rPr>
      </w:pPr>
      <w:r>
        <w:rPr>
          <w:rFonts w:eastAsia="MS Mincho"/>
          <w:b/>
          <w:bCs/>
        </w:rPr>
        <w:t>SEXUAL HARASSMENT</w:t>
      </w:r>
      <w:r>
        <w:rPr>
          <w:rFonts w:eastAsia="MS Mincho"/>
        </w:rPr>
        <w:tab/>
      </w:r>
      <w:r>
        <w:rPr>
          <w:rFonts w:eastAsia="MS Mincho"/>
        </w:rPr>
        <w:tab/>
        <w:t>4319.11</w:t>
      </w: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b/>
        </w:rPr>
      </w:pPr>
      <w:r>
        <w:rPr>
          <w:rFonts w:eastAsia="MS Mincho"/>
          <w:b/>
        </w:rPr>
        <w:t>Definitions</w:t>
      </w:r>
    </w:p>
    <w:p w:rsidR="00D7248D" w:rsidRPr="008117F4" w:rsidRDefault="00D7248D" w:rsidP="00D7248D">
      <w:pPr>
        <w:jc w:val="left"/>
        <w:rPr>
          <w:rFonts w:eastAsia="MS Mincho"/>
          <w:b/>
        </w:rPr>
      </w:pPr>
    </w:p>
    <w:p w:rsidR="00D7248D" w:rsidRDefault="00D7248D" w:rsidP="00D7248D">
      <w:pPr>
        <w:jc w:val="left"/>
        <w:rPr>
          <w:rFonts w:eastAsia="MS Mincho"/>
        </w:rPr>
      </w:pPr>
      <w:r w:rsidRPr="008117F4">
        <w:rPr>
          <w:rFonts w:eastAsia="MS Mincho"/>
          <w:i/>
        </w:rPr>
        <w:t>Prohibited sexual harassment</w:t>
      </w:r>
      <w:r>
        <w:rPr>
          <w:rFonts w:eastAsia="MS Mincho"/>
        </w:rPr>
        <w:t xml:space="preserve"> includes, but is not limited to, unwelcome sexual advances, unwanted requests for sexual favors, or other unwanted verbal, visual, or physical conduct of a sexual nature made against another person of the same or opposite sex in the work or educational setting when:  (Education Code 212.5; 5 CCR 4916)</w:t>
      </w:r>
    </w:p>
    <w:p w:rsidR="00D7248D" w:rsidRDefault="00D7248D" w:rsidP="00D7248D">
      <w:pPr>
        <w:jc w:val="left"/>
        <w:rPr>
          <w:rFonts w:eastAsia="MS Mincho"/>
        </w:rPr>
      </w:pPr>
    </w:p>
    <w:p w:rsidR="00D7248D" w:rsidRDefault="00D7248D" w:rsidP="00D7248D">
      <w:pPr>
        <w:ind w:left="720" w:hanging="720"/>
        <w:jc w:val="left"/>
        <w:rPr>
          <w:rFonts w:eastAsia="MS Mincho"/>
        </w:rPr>
      </w:pPr>
      <w:r>
        <w:rPr>
          <w:rFonts w:eastAsia="MS Mincho"/>
        </w:rPr>
        <w:t>1.</w:t>
      </w:r>
      <w:r>
        <w:rPr>
          <w:rFonts w:eastAsia="MS Mincho"/>
        </w:rPr>
        <w:tab/>
        <w:t>Submission to the conduct is made explicitly or implicitly a term or condition of the individual's employment.</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2.</w:t>
      </w:r>
      <w:r>
        <w:rPr>
          <w:rFonts w:eastAsia="MS Mincho"/>
        </w:rPr>
        <w:tab/>
        <w:t>Submission to or rejection of such conduct by the individual is used as the basis for an employment decision affecting him/her.</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3.</w:t>
      </w:r>
      <w:r>
        <w:rPr>
          <w:rFonts w:eastAsia="MS Mincho"/>
        </w:rPr>
        <w:tab/>
        <w:t>The conduct has the purpose or effect of having a negative impact upon the individual's work or has the purpose or effect of creating an intimidating, hostile, or offensive work environment.  The conduct is sufficiently severe, persistent, pervasive, or objectively offensive so as to create a hostile or abusive working environment or to limit the individual's ability to participate in or benefit from an education program or activity.</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4.</w:t>
      </w:r>
      <w:r>
        <w:rPr>
          <w:rFonts w:eastAsia="MS Mincho"/>
        </w:rPr>
        <w:tab/>
        <w:t>Submission to or rejection of the conduct by the other individual is used as the basis for any decision affecting him/her regarding benefits, services, honors, programs, or activities available at or through the district.</w:t>
      </w:r>
    </w:p>
    <w:p w:rsidR="00D7248D" w:rsidRDefault="00D7248D" w:rsidP="00D7248D">
      <w:pPr>
        <w:jc w:val="left"/>
        <w:rPr>
          <w:rFonts w:eastAsia="MS Mincho"/>
        </w:rPr>
      </w:pPr>
    </w:p>
    <w:p w:rsidR="00D7248D" w:rsidRDefault="00D7248D" w:rsidP="00D7248D">
      <w:pPr>
        <w:jc w:val="left"/>
        <w:rPr>
          <w:rFonts w:eastAsia="MS Mincho"/>
        </w:rPr>
      </w:pPr>
      <w:r>
        <w:rPr>
          <w:rFonts w:eastAsia="MS Mincho"/>
        </w:rPr>
        <w:t>Other examples of actions that might constitute sexual harassment, whether committed by a supervisor, a co-worker, or a non-employee, in the work or educational setting, include, but are not limited to:</w:t>
      </w:r>
    </w:p>
    <w:p w:rsidR="00D7248D" w:rsidRDefault="00D7248D" w:rsidP="00D7248D">
      <w:pPr>
        <w:jc w:val="left"/>
        <w:rPr>
          <w:rFonts w:eastAsia="MS Mincho"/>
        </w:rPr>
      </w:pPr>
    </w:p>
    <w:p w:rsidR="00D7248D" w:rsidRDefault="00D7248D" w:rsidP="00D7248D">
      <w:pPr>
        <w:ind w:left="720" w:hanging="720"/>
        <w:jc w:val="left"/>
        <w:rPr>
          <w:rFonts w:eastAsia="MS Mincho"/>
        </w:rPr>
      </w:pPr>
      <w:r>
        <w:rPr>
          <w:rFonts w:eastAsia="MS Mincho"/>
        </w:rPr>
        <w:t>1.</w:t>
      </w:r>
      <w:r>
        <w:rPr>
          <w:rFonts w:eastAsia="MS Mincho"/>
        </w:rPr>
        <w:tab/>
        <w:t xml:space="preserve">Unwelcome verbal conduct such as sexual flirtations or propositions; graphic comments about an individual's body; overly personal conversations or pressure for </w:t>
      </w:r>
    </w:p>
    <w:p w:rsidR="00D7248D" w:rsidRDefault="00D7248D" w:rsidP="00D7248D">
      <w:pPr>
        <w:ind w:left="720" w:hanging="720"/>
        <w:jc w:val="left"/>
        <w:rPr>
          <w:rFonts w:eastAsia="MS Mincho"/>
        </w:rPr>
      </w:pPr>
      <w:r>
        <w:rPr>
          <w:rFonts w:eastAsia="MS Mincho"/>
        </w:rPr>
        <w:tab/>
      </w:r>
      <w:proofErr w:type="gramStart"/>
      <w:r>
        <w:rPr>
          <w:rFonts w:eastAsia="MS Mincho"/>
        </w:rPr>
        <w:t>sexual</w:t>
      </w:r>
      <w:proofErr w:type="gramEnd"/>
      <w:r>
        <w:rPr>
          <w:rFonts w:eastAsia="MS Mincho"/>
        </w:rPr>
        <w:t xml:space="preserve"> activity; sexual jokes or stories; unwelcome sexual slurs, epithets, threats, innuendoes, derogatory comments, sexually degrading descriptions, or the spreading of sexual rumors</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2.</w:t>
      </w:r>
      <w:r>
        <w:rPr>
          <w:rFonts w:eastAsia="MS Mincho"/>
        </w:rPr>
        <w:tab/>
        <w:t>Unwelcome visual conduct such as drawings, pictures, graffiti, or gestures; sexually explicit emails; displaying sexually suggestive objects</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 xml:space="preserve">3. </w:t>
      </w:r>
      <w:r>
        <w:rPr>
          <w:rFonts w:eastAsia="MS Mincho"/>
        </w:rPr>
        <w:tab/>
        <w:t>Unwelcome physical conduct such as massaging, grabbing, fondling, stroking, or brushing the body; touching an individual's body or clothes in a sexual way; cornering, blocking, leaning over, or impeding normal movements</w:t>
      </w:r>
    </w:p>
    <w:p w:rsidR="00D7248D" w:rsidRDefault="00D7248D" w:rsidP="00D7248D">
      <w:pPr>
        <w:ind w:left="720" w:hanging="720"/>
        <w:jc w:val="left"/>
        <w:rPr>
          <w:rFonts w:eastAsia="MS Mincho"/>
        </w:rPr>
      </w:pPr>
    </w:p>
    <w:p w:rsidR="00D7248D" w:rsidRDefault="00D7248D" w:rsidP="00D7248D">
      <w:pPr>
        <w:jc w:val="left"/>
        <w:rPr>
          <w:rFonts w:eastAsia="MS Mincho"/>
        </w:rPr>
      </w:pPr>
      <w:r w:rsidRPr="00064400">
        <w:rPr>
          <w:rFonts w:eastAsia="MS Mincho"/>
          <w:i/>
        </w:rPr>
        <w:t>Prohibited sexual harassment</w:t>
      </w:r>
      <w:r>
        <w:rPr>
          <w:rFonts w:eastAsia="MS Mincho"/>
        </w:rPr>
        <w:t xml:space="preserve"> may also include any act of retaliation against an individual who reports a violation of the district's sexual harassment policy or who participates in the investigation of a sexual harassment complaint.</w:t>
      </w:r>
    </w:p>
    <w:p w:rsidR="00D7248D" w:rsidRDefault="00D7248D" w:rsidP="00D7248D">
      <w:pPr>
        <w:tabs>
          <w:tab w:val="left" w:pos="7470"/>
          <w:tab w:val="left" w:pos="7920"/>
        </w:tabs>
        <w:jc w:val="left"/>
        <w:rPr>
          <w:rFonts w:eastAsia="MS Mincho"/>
        </w:rPr>
      </w:pPr>
      <w:r>
        <w:rPr>
          <w:rFonts w:eastAsia="MS Mincho"/>
        </w:rPr>
        <w:lastRenderedPageBreak/>
        <w:tab/>
        <w:t>AR</w:t>
      </w:r>
      <w:r>
        <w:rPr>
          <w:rFonts w:eastAsia="MS Mincho"/>
        </w:rPr>
        <w:tab/>
        <w:t>4119.11(b)</w:t>
      </w:r>
    </w:p>
    <w:p w:rsidR="00D7248D" w:rsidRDefault="00D7248D" w:rsidP="00D7248D">
      <w:pPr>
        <w:tabs>
          <w:tab w:val="left" w:pos="7440"/>
          <w:tab w:val="left" w:pos="7920"/>
        </w:tabs>
        <w:jc w:val="left"/>
        <w:rPr>
          <w:rFonts w:eastAsia="MS Mincho"/>
        </w:rPr>
      </w:pPr>
      <w:r>
        <w:rPr>
          <w:rFonts w:eastAsia="MS Mincho"/>
        </w:rPr>
        <w:tab/>
      </w:r>
      <w:r>
        <w:rPr>
          <w:rFonts w:eastAsia="MS Mincho"/>
        </w:rPr>
        <w:tab/>
        <w:t>4219.11</w:t>
      </w:r>
    </w:p>
    <w:p w:rsidR="00D7248D" w:rsidRDefault="00D7248D" w:rsidP="00D7248D">
      <w:pPr>
        <w:tabs>
          <w:tab w:val="left" w:pos="7440"/>
          <w:tab w:val="left" w:pos="7920"/>
        </w:tabs>
        <w:jc w:val="left"/>
        <w:rPr>
          <w:rFonts w:eastAsia="MS Mincho"/>
        </w:rPr>
      </w:pPr>
      <w:r>
        <w:rPr>
          <w:rFonts w:eastAsia="MS Mincho"/>
        </w:rPr>
        <w:tab/>
      </w:r>
      <w:r>
        <w:rPr>
          <w:rFonts w:eastAsia="MS Mincho"/>
        </w:rPr>
        <w:tab/>
        <w:t>4319.11</w:t>
      </w: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r>
        <w:rPr>
          <w:rFonts w:eastAsia="MS Mincho"/>
          <w:b/>
          <w:bCs/>
        </w:rPr>
        <w:t xml:space="preserve">SEXUAL </w:t>
      </w:r>
      <w:proofErr w:type="gramStart"/>
      <w:r>
        <w:rPr>
          <w:rFonts w:eastAsia="MS Mincho"/>
          <w:b/>
          <w:bCs/>
        </w:rPr>
        <w:t>HARASSMENT</w:t>
      </w:r>
      <w:r>
        <w:rPr>
          <w:rFonts w:eastAsia="MS Mincho"/>
        </w:rPr>
        <w:t xml:space="preserve">  (</w:t>
      </w:r>
      <w:proofErr w:type="gramEnd"/>
      <w:r>
        <w:rPr>
          <w:rFonts w:eastAsia="MS Mincho"/>
        </w:rPr>
        <w:t>continued)</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b/>
        </w:rPr>
      </w:pPr>
      <w:r>
        <w:rPr>
          <w:rFonts w:eastAsia="MS Mincho"/>
          <w:b/>
        </w:rPr>
        <w:t>Training</w:t>
      </w:r>
    </w:p>
    <w:p w:rsidR="00D7248D" w:rsidRDefault="00D7248D" w:rsidP="00D7248D">
      <w:pPr>
        <w:jc w:val="left"/>
        <w:rPr>
          <w:rFonts w:eastAsia="MS Mincho"/>
          <w:bCs/>
        </w:rPr>
      </w:pPr>
    </w:p>
    <w:p w:rsidR="00D7248D" w:rsidRDefault="00D7248D" w:rsidP="00D7248D">
      <w:pPr>
        <w:jc w:val="left"/>
        <w:rPr>
          <w:rFonts w:eastAsia="MS Mincho"/>
          <w:bCs/>
        </w:rPr>
      </w:pPr>
      <w:r>
        <w:rPr>
          <w:rFonts w:eastAsia="MS Mincho"/>
          <w:bCs/>
        </w:rPr>
        <w:t>Every two years, the Superintendent or designee shall ensure that supervisory employees receive at least two hours of classroom or other effective interactive training and education regarding sexual harassment. All newly hired or promoted supervisory employees shall receive training within six months of their assumption of the supervisory position.  (Government Code 12950.1)</w:t>
      </w:r>
    </w:p>
    <w:p w:rsidR="00D7248D" w:rsidRDefault="00D7248D" w:rsidP="00D7248D">
      <w:pPr>
        <w:jc w:val="left"/>
        <w:rPr>
          <w:rFonts w:eastAsia="MS Mincho"/>
          <w:bCs/>
        </w:rPr>
      </w:pPr>
    </w:p>
    <w:p w:rsidR="00D7248D" w:rsidRDefault="00D7248D" w:rsidP="00D7248D">
      <w:pPr>
        <w:jc w:val="left"/>
        <w:rPr>
          <w:rFonts w:eastAsia="MS Mincho"/>
        </w:rPr>
      </w:pPr>
      <w:r w:rsidRPr="00A17761">
        <w:t>The district's training and education program for supervisory employees shall include information and practical guidance regarding the federal and state law</w:t>
      </w:r>
      <w:r>
        <w:t>s</w:t>
      </w:r>
      <w:r w:rsidRPr="00A17761">
        <w:t xml:space="preserve"> on the prohibition against and the prevention and correction of sexual harassment</w:t>
      </w:r>
      <w:r>
        <w:t>,</w:t>
      </w:r>
      <w:r w:rsidRPr="00A17761">
        <w:t xml:space="preserve"> and the remedies available to the victims of sexual harassment in employment. The training shall also include </w:t>
      </w:r>
      <w:r>
        <w:t xml:space="preserve">all of the content specified in 2 CCR 7288.0 and </w:t>
      </w:r>
      <w:r w:rsidRPr="00A17761">
        <w:t>practical examples aimed at instructing supervisors in the prevention of harassment, discrimination, and retaliation</w:t>
      </w:r>
      <w:r>
        <w:t xml:space="preserve">.  </w:t>
      </w:r>
      <w:r w:rsidRPr="00A17761">
        <w:rPr>
          <w:rFonts w:eastAsia="MS Mincho"/>
        </w:rPr>
        <w:t>(Government Code 12950.1; 2 CCR 7288.0)</w:t>
      </w:r>
    </w:p>
    <w:p w:rsidR="00D7248D" w:rsidRDefault="00D7248D" w:rsidP="00D7248D">
      <w:pPr>
        <w:jc w:val="left"/>
        <w:rPr>
          <w:rFonts w:eastAsia="MS Mincho"/>
          <w:bCs/>
        </w:rPr>
      </w:pPr>
    </w:p>
    <w:p w:rsidR="00D7248D" w:rsidRDefault="00D7248D" w:rsidP="00D7248D">
      <w:pPr>
        <w:jc w:val="left"/>
        <w:rPr>
          <w:rFonts w:eastAsia="MS Mincho"/>
        </w:rPr>
      </w:pPr>
      <w:r>
        <w:rPr>
          <w:rFonts w:eastAsia="MS Mincho"/>
          <w:bCs/>
        </w:rPr>
        <w:t xml:space="preserve">In addition, the Superintendent or designee shall ensure that all employees receive </w:t>
      </w:r>
      <w:r>
        <w:rPr>
          <w:rFonts w:eastAsia="MS Mincho"/>
        </w:rPr>
        <w:t>periodic training regarding the district's sexual harassment policy, particularly the procedures for filing complaints and employees' duty to use the district's complaint procedures.</w:t>
      </w:r>
    </w:p>
    <w:p w:rsidR="00D7248D" w:rsidRDefault="00D7248D" w:rsidP="00D7248D">
      <w:pPr>
        <w:jc w:val="left"/>
        <w:rPr>
          <w:rFonts w:eastAsia="MS Mincho"/>
          <w:bCs/>
        </w:rPr>
      </w:pPr>
    </w:p>
    <w:p w:rsidR="00D7248D" w:rsidRDefault="00D7248D" w:rsidP="00D7248D">
      <w:pPr>
        <w:jc w:val="left"/>
        <w:rPr>
          <w:rFonts w:eastAsia="MS Mincho"/>
          <w:b/>
          <w:bCs/>
        </w:rPr>
      </w:pPr>
      <w:r>
        <w:rPr>
          <w:rFonts w:eastAsia="MS Mincho"/>
          <w:b/>
          <w:bCs/>
        </w:rPr>
        <w:t>Notifications</w:t>
      </w:r>
    </w:p>
    <w:p w:rsidR="00D7248D" w:rsidRDefault="00D7248D" w:rsidP="00D7248D">
      <w:pPr>
        <w:jc w:val="left"/>
        <w:rPr>
          <w:rFonts w:eastAsia="MS Mincho"/>
        </w:rPr>
      </w:pPr>
    </w:p>
    <w:p w:rsidR="00D7248D" w:rsidRDefault="00D7248D" w:rsidP="00D7248D">
      <w:pPr>
        <w:jc w:val="left"/>
        <w:rPr>
          <w:rFonts w:eastAsia="MS Mincho"/>
        </w:rPr>
      </w:pPr>
      <w:r>
        <w:rPr>
          <w:rFonts w:eastAsia="MS Mincho"/>
        </w:rPr>
        <w:t>A copy of the Board policy and this administrative regulation shall:  (Education Code 231.5)</w:t>
      </w:r>
    </w:p>
    <w:p w:rsidR="00D7248D" w:rsidRDefault="00D7248D" w:rsidP="00D7248D">
      <w:pPr>
        <w:jc w:val="left"/>
        <w:rPr>
          <w:rFonts w:eastAsia="MS Mincho"/>
        </w:rPr>
      </w:pPr>
    </w:p>
    <w:p w:rsidR="00D7248D" w:rsidRDefault="00D7248D" w:rsidP="00D7248D">
      <w:pPr>
        <w:ind w:left="720" w:hanging="720"/>
        <w:jc w:val="left"/>
        <w:rPr>
          <w:rFonts w:eastAsia="MS Mincho"/>
        </w:rPr>
      </w:pPr>
      <w:r>
        <w:rPr>
          <w:rFonts w:eastAsia="MS Mincho"/>
        </w:rPr>
        <w:t>1.</w:t>
      </w:r>
      <w:r>
        <w:rPr>
          <w:rFonts w:eastAsia="MS Mincho"/>
        </w:rPr>
        <w:tab/>
        <w:t>Be displayed in a prominent location in the main administrative building, district office, or other area of the school where notices of district rules, regulations, procedures, and standards of conduct are posted</w:t>
      </w:r>
    </w:p>
    <w:p w:rsidR="00D7248D" w:rsidRPr="00136149" w:rsidRDefault="00D7248D" w:rsidP="00D7248D">
      <w:pPr>
        <w:ind w:left="720" w:hanging="720"/>
        <w:jc w:val="left"/>
        <w:rPr>
          <w:rFonts w:eastAsia="MS Mincho"/>
          <w:sz w:val="20"/>
        </w:rPr>
      </w:pPr>
    </w:p>
    <w:p w:rsidR="00D7248D" w:rsidRDefault="00D7248D" w:rsidP="00D7248D">
      <w:pPr>
        <w:ind w:left="720" w:hanging="720"/>
        <w:jc w:val="left"/>
        <w:rPr>
          <w:rFonts w:eastAsia="MS Mincho"/>
        </w:rPr>
      </w:pPr>
      <w:r>
        <w:rPr>
          <w:rFonts w:eastAsia="MS Mincho"/>
        </w:rPr>
        <w:t>2.</w:t>
      </w:r>
      <w:r>
        <w:rPr>
          <w:rFonts w:eastAsia="MS Mincho"/>
        </w:rPr>
        <w:tab/>
        <w:t>Be provided to each faculty member, all members of the administrative staff, and all members of the support staff at the beginning of the first quarter or semester of the school year or whenever a new employee is hired</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i/>
          <w:sz w:val="20"/>
        </w:rPr>
      </w:pPr>
      <w:r>
        <w:rPr>
          <w:rFonts w:eastAsia="MS Mincho"/>
          <w:i/>
          <w:sz w:val="20"/>
        </w:rPr>
        <w:t>(cf. 4112.9/4212.9/4312.9 - Employee Notifications)</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3.</w:t>
      </w:r>
      <w:r>
        <w:rPr>
          <w:rFonts w:eastAsia="MS Mincho"/>
        </w:rPr>
        <w:tab/>
        <w:t xml:space="preserve">Appear in any school or district publication that sets forth the </w:t>
      </w:r>
      <w:proofErr w:type="gramStart"/>
      <w:r>
        <w:rPr>
          <w:rFonts w:eastAsia="MS Mincho"/>
        </w:rPr>
        <w:t>school's</w:t>
      </w:r>
      <w:proofErr w:type="gramEnd"/>
      <w:r>
        <w:rPr>
          <w:rFonts w:eastAsia="MS Mincho"/>
        </w:rPr>
        <w:t xml:space="preserve"> or district's comprehensive rules, regulations, procedures, and standards of conduct</w:t>
      </w:r>
    </w:p>
    <w:p w:rsidR="00D7248D" w:rsidRDefault="00D7248D" w:rsidP="00D7248D">
      <w:pPr>
        <w:jc w:val="left"/>
        <w:rPr>
          <w:rFonts w:eastAsia="MS Mincho"/>
        </w:rPr>
      </w:pPr>
    </w:p>
    <w:p w:rsidR="00D7248D" w:rsidRDefault="00D7248D" w:rsidP="00D7248D">
      <w:pPr>
        <w:jc w:val="left"/>
        <w:rPr>
          <w:rFonts w:eastAsia="MS Mincho"/>
        </w:rPr>
      </w:pPr>
      <w:r>
        <w:rPr>
          <w:rFonts w:eastAsia="MS Mincho"/>
        </w:rPr>
        <w:t>All employees shall receive either a copy of information sheets prepared by the California Department of Fair Employment and Housing (DFEH) or a copy of district information sheets that contain, at a minimum, components on:  (Government Code 12950)</w:t>
      </w: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tabs>
          <w:tab w:val="left" w:pos="7470"/>
          <w:tab w:val="left" w:pos="7920"/>
        </w:tabs>
        <w:jc w:val="left"/>
        <w:rPr>
          <w:rFonts w:eastAsia="MS Mincho"/>
        </w:rPr>
      </w:pPr>
      <w:r>
        <w:rPr>
          <w:rFonts w:eastAsia="MS Mincho"/>
        </w:rPr>
        <w:lastRenderedPageBreak/>
        <w:tab/>
        <w:t>AR</w:t>
      </w:r>
      <w:r>
        <w:rPr>
          <w:rFonts w:eastAsia="MS Mincho"/>
        </w:rPr>
        <w:tab/>
        <w:t>4119.11(c)</w:t>
      </w:r>
    </w:p>
    <w:p w:rsidR="00D7248D" w:rsidRDefault="00D7248D" w:rsidP="00D7248D">
      <w:pPr>
        <w:tabs>
          <w:tab w:val="left" w:pos="7440"/>
          <w:tab w:val="left" w:pos="7920"/>
        </w:tabs>
        <w:jc w:val="left"/>
        <w:rPr>
          <w:rFonts w:eastAsia="MS Mincho"/>
        </w:rPr>
      </w:pPr>
      <w:r>
        <w:rPr>
          <w:rFonts w:eastAsia="MS Mincho"/>
        </w:rPr>
        <w:tab/>
      </w:r>
      <w:r>
        <w:rPr>
          <w:rFonts w:eastAsia="MS Mincho"/>
        </w:rPr>
        <w:tab/>
        <w:t>4219.11</w:t>
      </w:r>
    </w:p>
    <w:p w:rsidR="00D7248D" w:rsidRDefault="00D7248D" w:rsidP="00D7248D">
      <w:pPr>
        <w:tabs>
          <w:tab w:val="left" w:pos="7440"/>
          <w:tab w:val="left" w:pos="7920"/>
        </w:tabs>
        <w:jc w:val="left"/>
        <w:rPr>
          <w:rFonts w:eastAsia="MS Mincho"/>
        </w:rPr>
      </w:pPr>
      <w:r>
        <w:rPr>
          <w:rFonts w:eastAsia="MS Mincho"/>
        </w:rPr>
        <w:tab/>
      </w:r>
      <w:r>
        <w:rPr>
          <w:rFonts w:eastAsia="MS Mincho"/>
        </w:rPr>
        <w:tab/>
        <w:t>4319.11</w:t>
      </w: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r>
        <w:rPr>
          <w:rFonts w:eastAsia="MS Mincho"/>
          <w:b/>
          <w:bCs/>
        </w:rPr>
        <w:t xml:space="preserve">SEXUAL </w:t>
      </w:r>
      <w:proofErr w:type="gramStart"/>
      <w:r>
        <w:rPr>
          <w:rFonts w:eastAsia="MS Mincho"/>
          <w:b/>
          <w:bCs/>
        </w:rPr>
        <w:t>HARASSMENT</w:t>
      </w:r>
      <w:r>
        <w:rPr>
          <w:rFonts w:eastAsia="MS Mincho"/>
        </w:rPr>
        <w:t xml:space="preserve">  (</w:t>
      </w:r>
      <w:proofErr w:type="gramEnd"/>
      <w:r>
        <w:rPr>
          <w:rFonts w:eastAsia="MS Mincho"/>
        </w:rPr>
        <w:t>continued)</w:t>
      </w:r>
    </w:p>
    <w:p w:rsidR="00D7248D" w:rsidRDefault="00D7248D" w:rsidP="00D7248D">
      <w:pPr>
        <w:jc w:val="left"/>
        <w:rPr>
          <w:rFonts w:eastAsia="MS Mincho"/>
        </w:rPr>
      </w:pPr>
    </w:p>
    <w:p w:rsidR="00D7248D" w:rsidRDefault="00D7248D" w:rsidP="00D7248D">
      <w:pPr>
        <w:ind w:left="720" w:hanging="720"/>
        <w:jc w:val="left"/>
        <w:rPr>
          <w:rFonts w:eastAsia="MS Mincho"/>
        </w:rPr>
      </w:pPr>
      <w:r>
        <w:rPr>
          <w:rFonts w:eastAsia="MS Mincho"/>
        </w:rPr>
        <w:t>1.</w:t>
      </w:r>
      <w:r>
        <w:rPr>
          <w:rFonts w:eastAsia="MS Mincho"/>
        </w:rPr>
        <w:tab/>
        <w:t>The illegality of sexual harassment</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2.</w:t>
      </w:r>
      <w:r>
        <w:rPr>
          <w:rFonts w:eastAsia="MS Mincho"/>
        </w:rPr>
        <w:tab/>
        <w:t>The definition of sexual harassment under applicable state and federal law</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3.</w:t>
      </w:r>
      <w:r>
        <w:rPr>
          <w:rFonts w:eastAsia="MS Mincho"/>
        </w:rPr>
        <w:tab/>
        <w:t>A description of sexual harassment, with examples</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4.</w:t>
      </w:r>
      <w:r>
        <w:rPr>
          <w:rFonts w:eastAsia="MS Mincho"/>
        </w:rPr>
        <w:tab/>
        <w:t>The district's complaint process available to the employee</w:t>
      </w:r>
    </w:p>
    <w:p w:rsidR="00D7248D" w:rsidRDefault="00D7248D" w:rsidP="00D7248D">
      <w:pPr>
        <w:tabs>
          <w:tab w:val="left" w:pos="7440"/>
          <w:tab w:val="left" w:pos="7920"/>
        </w:tabs>
        <w:jc w:val="left"/>
        <w:rPr>
          <w:rFonts w:eastAsia="MS Mincho"/>
        </w:rPr>
      </w:pPr>
    </w:p>
    <w:p w:rsidR="00D7248D" w:rsidRDefault="00D7248D" w:rsidP="00D7248D">
      <w:pPr>
        <w:tabs>
          <w:tab w:val="left" w:pos="7440"/>
          <w:tab w:val="left" w:pos="7920"/>
        </w:tabs>
        <w:jc w:val="left"/>
        <w:rPr>
          <w:rFonts w:eastAsia="MS Mincho"/>
          <w:i/>
          <w:sz w:val="20"/>
        </w:rPr>
      </w:pPr>
      <w:r>
        <w:rPr>
          <w:rFonts w:eastAsia="MS Mincho"/>
          <w:i/>
          <w:sz w:val="20"/>
        </w:rPr>
        <w:t>(cf. 4031 - Complaints Concerning Discrimination in Employment)</w:t>
      </w:r>
    </w:p>
    <w:p w:rsidR="00D7248D" w:rsidRDefault="00D7248D" w:rsidP="00D7248D">
      <w:pPr>
        <w:tabs>
          <w:tab w:val="left" w:pos="7440"/>
          <w:tab w:val="left" w:pos="7920"/>
        </w:tabs>
        <w:jc w:val="left"/>
        <w:rPr>
          <w:rFonts w:eastAsia="MS Mincho"/>
          <w:i/>
          <w:szCs w:val="24"/>
        </w:rPr>
      </w:pPr>
    </w:p>
    <w:p w:rsidR="00D7248D" w:rsidRDefault="00D7248D" w:rsidP="00D7248D">
      <w:pPr>
        <w:ind w:left="720" w:hanging="720"/>
        <w:jc w:val="left"/>
        <w:rPr>
          <w:rFonts w:eastAsia="MS Mincho"/>
        </w:rPr>
      </w:pPr>
      <w:r>
        <w:rPr>
          <w:rFonts w:eastAsia="MS Mincho"/>
        </w:rPr>
        <w:t>5.</w:t>
      </w:r>
      <w:r>
        <w:rPr>
          <w:rFonts w:eastAsia="MS Mincho"/>
        </w:rPr>
        <w:tab/>
        <w:t>The legal remedies and complaint process available through DFEH and the Equal Employment Opportunity Commission (EEOC)</w:t>
      </w:r>
    </w:p>
    <w:p w:rsidR="00D7248D" w:rsidRDefault="00D7248D" w:rsidP="00D7248D">
      <w:pPr>
        <w:ind w:left="720" w:hanging="720"/>
        <w:jc w:val="left"/>
        <w:rPr>
          <w:rFonts w:eastAsia="MS Mincho"/>
        </w:rPr>
      </w:pPr>
    </w:p>
    <w:p w:rsidR="00D7248D" w:rsidRDefault="00D7248D" w:rsidP="00D7248D">
      <w:pPr>
        <w:ind w:left="720" w:hanging="720"/>
        <w:jc w:val="left"/>
        <w:rPr>
          <w:rFonts w:eastAsia="MS Mincho"/>
        </w:rPr>
      </w:pPr>
      <w:r>
        <w:rPr>
          <w:rFonts w:eastAsia="MS Mincho"/>
        </w:rPr>
        <w:t>6.</w:t>
      </w:r>
      <w:r>
        <w:rPr>
          <w:rFonts w:eastAsia="MS Mincho"/>
        </w:rPr>
        <w:tab/>
        <w:t>Directions on how to contact DFEH and the EEOC</w:t>
      </w:r>
    </w:p>
    <w:p w:rsidR="00D7248D" w:rsidRDefault="00D7248D" w:rsidP="00D7248D">
      <w:pPr>
        <w:jc w:val="left"/>
        <w:rPr>
          <w:rFonts w:eastAsia="MS Mincho"/>
        </w:rPr>
      </w:pPr>
    </w:p>
    <w:p w:rsidR="00D7248D" w:rsidRDefault="00D7248D" w:rsidP="00D7248D">
      <w:pPr>
        <w:tabs>
          <w:tab w:val="left" w:pos="720"/>
        </w:tabs>
        <w:ind w:left="720" w:hanging="720"/>
        <w:jc w:val="left"/>
        <w:rPr>
          <w:rFonts w:eastAsia="MS Mincho"/>
        </w:rPr>
      </w:pPr>
      <w:r>
        <w:rPr>
          <w:rFonts w:eastAsia="MS Mincho"/>
        </w:rPr>
        <w:t>7.</w:t>
      </w:r>
      <w:r>
        <w:rPr>
          <w:rFonts w:eastAsia="MS Mincho"/>
        </w:rPr>
        <w:tab/>
        <w:t>The protection against retaliation provided by 2 CCR 7287.8 for opposing harassment prohibited by law or for filing a complaint with or otherwise participating in an investigation, proceeding, or hearing conducted by DFEH and the EEOC</w:t>
      </w:r>
    </w:p>
    <w:p w:rsidR="00D7248D" w:rsidRDefault="00D7248D" w:rsidP="00D7248D">
      <w:pPr>
        <w:jc w:val="left"/>
        <w:rPr>
          <w:rFonts w:eastAsia="MS Mincho"/>
        </w:rPr>
      </w:pPr>
    </w:p>
    <w:p w:rsidR="00D7248D" w:rsidRDefault="00D7248D" w:rsidP="00D7248D">
      <w:pPr>
        <w:jc w:val="left"/>
        <w:rPr>
          <w:rFonts w:eastAsia="MS Mincho"/>
        </w:rPr>
      </w:pPr>
      <w:r>
        <w:rPr>
          <w:rFonts w:eastAsia="MS Mincho"/>
        </w:rPr>
        <w:t>In addition, the district shall post, in a prominent and accessible location, DFEH's poster on discrimination in employment and the illegality of sexual harassment.  (Government Code 12950)</w:t>
      </w:r>
    </w:p>
    <w:p w:rsidR="00D7248D" w:rsidRDefault="00D7248D" w:rsidP="00D7248D">
      <w:pPr>
        <w:jc w:val="left"/>
        <w:rPr>
          <w:rFonts w:eastAsia="MS Mincho"/>
        </w:rPr>
      </w:pPr>
      <w:r>
        <w:rPr>
          <w:rFonts w:eastAsia="MS Mincho"/>
        </w:rPr>
        <w:tab/>
      </w: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rPr>
          <w:rFonts w:eastAsia="MS Mincho"/>
        </w:rPr>
      </w:pPr>
    </w:p>
    <w:p w:rsidR="00D7248D" w:rsidRDefault="00D7248D" w:rsidP="00D7248D">
      <w:pPr>
        <w:jc w:val="left"/>
      </w:pPr>
      <w:r>
        <w:t>Regulation</w:t>
      </w:r>
      <w:r>
        <w:tab/>
        <w:t>PAJARO VALLEY UNIFIED SCHOOL DISTRICT</w:t>
      </w:r>
    </w:p>
    <w:p w:rsidR="00165173" w:rsidRPr="00D7248D" w:rsidRDefault="00D7248D" w:rsidP="00D7248D">
      <w:pPr>
        <w:jc w:val="left"/>
      </w:pPr>
      <w:r>
        <w:t>date: November 12, 2014</w:t>
      </w:r>
      <w:r>
        <w:tab/>
        <w:t>Watsonville, CA</w:t>
      </w:r>
      <w:bookmarkStart w:id="0" w:name="_GoBack"/>
      <w:bookmarkEnd w:id="0"/>
    </w:p>
    <w:sectPr w:rsidR="00165173" w:rsidRPr="00D7248D" w:rsidSect="00ED6E91">
      <w:pgSz w:w="12240" w:h="15840"/>
      <w:pgMar w:top="144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1752"/>
    <w:multiLevelType w:val="hybridMultilevel"/>
    <w:tmpl w:val="D7347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F6E83"/>
    <w:multiLevelType w:val="hybridMultilevel"/>
    <w:tmpl w:val="DE865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E31C64"/>
    <w:multiLevelType w:val="hybridMultilevel"/>
    <w:tmpl w:val="548C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91"/>
    <w:rsid w:val="00165173"/>
    <w:rsid w:val="001C466B"/>
    <w:rsid w:val="004D1094"/>
    <w:rsid w:val="00573D8A"/>
    <w:rsid w:val="00D7248D"/>
    <w:rsid w:val="00ED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91"/>
    <w:pPr>
      <w:tabs>
        <w:tab w:val="right" w:pos="9000"/>
      </w:tabs>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91"/>
    <w:pPr>
      <w:tabs>
        <w:tab w:val="right" w:pos="9000"/>
      </w:tabs>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Pajaro Valley Unifed School District</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Pajaro Valley Unified School District</dc:creator>
  <cp:lastModifiedBy>Pajaro Valley Unified School District</cp:lastModifiedBy>
  <cp:revision>2</cp:revision>
  <dcterms:created xsi:type="dcterms:W3CDTF">2014-11-13T22:38:00Z</dcterms:created>
  <dcterms:modified xsi:type="dcterms:W3CDTF">2014-11-13T22:38:00Z</dcterms:modified>
</cp:coreProperties>
</file>